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B0598" w14:textId="77777777" w:rsidR="0064154F" w:rsidRPr="00922B38" w:rsidRDefault="00AA1BC9" w:rsidP="0064154F">
      <w:pPr>
        <w:jc w:val="center"/>
        <w:rPr>
          <w:b/>
          <w:color w:val="FF6600"/>
          <w:sz w:val="28"/>
          <w:szCs w:val="28"/>
          <w:lang w:val="pl-PL"/>
        </w:rPr>
      </w:pPr>
    </w:p>
    <w:p w14:paraId="6F827726" w14:textId="77777777" w:rsidR="000B6265" w:rsidRPr="00922B38" w:rsidRDefault="00AA1BC9" w:rsidP="00357991">
      <w:pPr>
        <w:jc w:val="center"/>
        <w:rPr>
          <w:b/>
          <w:color w:val="1F497D" w:themeColor="text2"/>
          <w:sz w:val="32"/>
          <w:szCs w:val="32"/>
          <w:lang w:val="pl-PL"/>
        </w:rPr>
      </w:pPr>
      <w:proofErr w:type="spellStart"/>
      <w:r w:rsidRPr="00922B38">
        <w:rPr>
          <w:b/>
          <w:bCs/>
          <w:color w:val="1F497D"/>
          <w:sz w:val="32"/>
          <w:szCs w:val="32"/>
          <w:lang w:val="pl-PL"/>
        </w:rPr>
        <w:t>INTERREG</w:t>
      </w:r>
      <w:proofErr w:type="spellEnd"/>
      <w:r w:rsidRPr="00922B38">
        <w:rPr>
          <w:b/>
          <w:bCs/>
          <w:color w:val="1F497D"/>
          <w:sz w:val="32"/>
          <w:szCs w:val="32"/>
          <w:lang w:val="pl-PL"/>
        </w:rPr>
        <w:t xml:space="preserve"> V-A REPUBLIKA CZESKA - POLSKA</w:t>
      </w:r>
    </w:p>
    <w:p w14:paraId="7B21F253" w14:textId="77777777" w:rsidR="0064154F" w:rsidRPr="00922B38" w:rsidRDefault="00AA1BC9" w:rsidP="0064154F">
      <w:pPr>
        <w:pStyle w:val="Heading1"/>
        <w:jc w:val="center"/>
        <w:rPr>
          <w:lang w:val="pl-PL"/>
        </w:rPr>
      </w:pPr>
      <w:r w:rsidRPr="00922B38">
        <w:rPr>
          <w:rFonts w:cs="Times New Roman"/>
          <w:szCs w:val="30"/>
          <w:lang w:val="pl-PL"/>
        </w:rPr>
        <w:t>Formularz propozycji projektowej</w:t>
      </w:r>
    </w:p>
    <w:p w14:paraId="605A4E5D" w14:textId="77777777" w:rsidR="00436AC2" w:rsidRPr="00922B38" w:rsidRDefault="00AA1BC9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37CEE" w:rsidRPr="00922B38" w14:paraId="36F05576" w14:textId="77777777" w:rsidTr="007E76BC">
        <w:tc>
          <w:tcPr>
            <w:tcW w:w="4606" w:type="dxa"/>
          </w:tcPr>
          <w:p w14:paraId="037D3B80" w14:textId="77777777" w:rsidR="00436AC2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Podmiot składający projekt:</w:t>
            </w:r>
          </w:p>
          <w:p w14:paraId="76605EAF" w14:textId="77777777" w:rsidR="001078B9" w:rsidRPr="00922B38" w:rsidRDefault="00AA1BC9" w:rsidP="00F95B6A">
            <w:pPr>
              <w:spacing w:before="120" w:after="120" w:line="240" w:lineRule="atLeast"/>
              <w:rPr>
                <w:sz w:val="22"/>
                <w:szCs w:val="22"/>
                <w:lang w:val="pl-PL" w:eastAsia="de-AT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Centrum 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dopravního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výzkumu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v.v.i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4606" w:type="dxa"/>
          </w:tcPr>
          <w:p w14:paraId="6A1D60D3" w14:textId="77777777" w:rsidR="00436AC2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Forma prawna wnioskodawcy:</w:t>
            </w:r>
          </w:p>
          <w:p w14:paraId="0418653C" w14:textId="77777777" w:rsidR="00436AC2" w:rsidRPr="00922B38" w:rsidRDefault="00AA1BC9" w:rsidP="00E77B2C">
            <w:p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Publiczna instytucja badawcza (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v.v.i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>.)</w:t>
            </w:r>
          </w:p>
        </w:tc>
      </w:tr>
      <w:tr w:rsidR="00537CEE" w:rsidRPr="00922B38" w14:paraId="495E444B" w14:textId="77777777" w:rsidTr="007E76BC">
        <w:tc>
          <w:tcPr>
            <w:tcW w:w="9212" w:type="dxa"/>
            <w:gridSpan w:val="2"/>
          </w:tcPr>
          <w:p w14:paraId="3D0B5F37" w14:textId="77777777" w:rsidR="0064154F" w:rsidRPr="00922B38" w:rsidRDefault="00AA1BC9">
            <w:pPr>
              <w:rPr>
                <w:b/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Osoba kontaktowa</w:t>
            </w:r>
          </w:p>
          <w:p w14:paraId="7850A887" w14:textId="77777777" w:rsidR="00F95B6A" w:rsidRPr="00922B38" w:rsidRDefault="00AA1BC9" w:rsidP="00F95B6A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Ing. 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Markéta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Novotná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>, Grant Office</w:t>
            </w:r>
            <w:r w:rsidRPr="00922B38">
              <w:rPr>
                <w:sz w:val="22"/>
                <w:szCs w:val="22"/>
                <w:lang w:val="pl-PL"/>
              </w:rPr>
              <w:t xml:space="preserve"> CDV</w:t>
            </w:r>
          </w:p>
        </w:tc>
      </w:tr>
      <w:tr w:rsidR="00537CEE" w:rsidRPr="00922B38" w14:paraId="330FDA43" w14:textId="77777777" w:rsidTr="007E76BC">
        <w:tc>
          <w:tcPr>
            <w:tcW w:w="4606" w:type="dxa"/>
          </w:tcPr>
          <w:p w14:paraId="406ED7D3" w14:textId="77777777" w:rsidR="0064154F" w:rsidRPr="00922B38" w:rsidRDefault="00AA1BC9">
            <w:pPr>
              <w:rPr>
                <w:b/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 xml:space="preserve">Telefon: </w:t>
            </w:r>
          </w:p>
          <w:p w14:paraId="775A86AD" w14:textId="77777777" w:rsidR="00F95B6A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tel. 541 641 702, 725 552 150</w:t>
            </w:r>
          </w:p>
        </w:tc>
        <w:tc>
          <w:tcPr>
            <w:tcW w:w="4606" w:type="dxa"/>
          </w:tcPr>
          <w:p w14:paraId="66ED908F" w14:textId="77777777" w:rsidR="0064154F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 xml:space="preserve">Email: </w:t>
            </w:r>
          </w:p>
          <w:p w14:paraId="42CFA593" w14:textId="77777777" w:rsidR="0064154F" w:rsidRPr="00922B38" w:rsidRDefault="00AA1BC9">
            <w:pPr>
              <w:rPr>
                <w:b/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marketa.novotna@cdv.cz</w:t>
            </w:r>
          </w:p>
        </w:tc>
      </w:tr>
      <w:tr w:rsidR="00537CEE" w:rsidRPr="00922B38" w14:paraId="29D000CD" w14:textId="77777777" w:rsidTr="007E76BC">
        <w:tc>
          <w:tcPr>
            <w:tcW w:w="9212" w:type="dxa"/>
            <w:gridSpan w:val="2"/>
          </w:tcPr>
          <w:p w14:paraId="0234F85D" w14:textId="77777777" w:rsidR="00436AC2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Tytuł propozycji projektowej:</w:t>
            </w:r>
          </w:p>
          <w:p w14:paraId="4528A7DB" w14:textId="6D293191" w:rsidR="00436AC2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Opór przed przekroczeniem granicy w mobilności codziennej</w:t>
            </w:r>
            <w:r w:rsidR="00922B38">
              <w:rPr>
                <w:sz w:val="22"/>
                <w:szCs w:val="22"/>
                <w:lang w:val="pl-PL"/>
              </w:rPr>
              <w:t>,</w:t>
            </w:r>
            <w:r w:rsidRPr="00922B38">
              <w:rPr>
                <w:sz w:val="22"/>
                <w:szCs w:val="22"/>
                <w:lang w:val="pl-PL"/>
              </w:rPr>
              <w:t xml:space="preserve"> w aspekcie transportowym</w:t>
            </w:r>
          </w:p>
          <w:p w14:paraId="43BC4C82" w14:textId="77777777" w:rsidR="00A47D7F" w:rsidRPr="00922B38" w:rsidRDefault="00AA1BC9">
            <w:pPr>
              <w:rPr>
                <w:sz w:val="22"/>
                <w:szCs w:val="22"/>
                <w:lang w:val="pl-PL"/>
              </w:rPr>
            </w:pPr>
          </w:p>
        </w:tc>
      </w:tr>
      <w:tr w:rsidR="00537CEE" w:rsidRPr="00922B38" w14:paraId="21F5729E" w14:textId="77777777" w:rsidTr="007E76BC">
        <w:tc>
          <w:tcPr>
            <w:tcW w:w="9212" w:type="dxa"/>
            <w:gridSpan w:val="2"/>
          </w:tcPr>
          <w:p w14:paraId="2BBB8FB1" w14:textId="77777777" w:rsidR="00436AC2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Zwięzły opis propozycji projektowej:</w:t>
            </w:r>
          </w:p>
          <w:p w14:paraId="55843D42" w14:textId="77777777" w:rsidR="00A47D7F" w:rsidRPr="00922B38" w:rsidRDefault="00AA1BC9" w:rsidP="00A47D7F">
            <w:pPr>
              <w:spacing w:before="120" w:after="120" w:line="240" w:lineRule="atLeast"/>
              <w:ind w:left="142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Przez codzienną mobilność </w:t>
            </w:r>
            <w:r w:rsidRPr="00922B38">
              <w:rPr>
                <w:sz w:val="22"/>
                <w:szCs w:val="22"/>
                <w:lang w:val="pl-PL"/>
              </w:rPr>
              <w:t xml:space="preserve">transgraniczną rozumiemy zbiór krótkich (jednodniowych) podróży, w które ludzie wyruszają w celu realizacji swoich standardowych potrzeb życiowych. Podróże te mogą być na przykład dojazdem do pracy, na zakupy lub w czasie wolnym. </w:t>
            </w:r>
          </w:p>
          <w:p w14:paraId="4D2F0383" w14:textId="4C319161" w:rsidR="00A47D7F" w:rsidRPr="00922B38" w:rsidRDefault="00AA1BC9" w:rsidP="00A47D7F">
            <w:pPr>
              <w:spacing w:before="120" w:after="120" w:line="240" w:lineRule="atLeast"/>
              <w:ind w:left="142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To właśnie transgraniczna</w:t>
            </w:r>
            <w:r w:rsidRPr="00922B38">
              <w:rPr>
                <w:sz w:val="22"/>
                <w:szCs w:val="22"/>
                <w:lang w:val="pl-PL"/>
              </w:rPr>
              <w:t xml:space="preserve"> mobilność codzienna pomaga</w:t>
            </w:r>
            <w:r w:rsidR="00922B38">
              <w:rPr>
                <w:sz w:val="22"/>
                <w:szCs w:val="22"/>
                <w:lang w:val="pl-PL"/>
              </w:rPr>
              <w:t xml:space="preserve"> budować sieci kontaktów między</w:t>
            </w:r>
            <w:r w:rsidRPr="00922B38">
              <w:rPr>
                <w:sz w:val="22"/>
                <w:szCs w:val="22"/>
                <w:lang w:val="pl-PL"/>
              </w:rPr>
              <w:t>ludzkich i relacji kulturowo-ekonomicznych, a także niwelować mylące wyobrażenia o naszych sąsiadach. W ten sposób przyczynia się ona do zbliżenia sąsiednich narodów.</w:t>
            </w:r>
          </w:p>
          <w:p w14:paraId="1FA6A011" w14:textId="1A02D8FC" w:rsidR="00A47D7F" w:rsidRPr="00922B38" w:rsidRDefault="00AA1BC9" w:rsidP="00A47D7F">
            <w:pPr>
              <w:spacing w:before="120" w:after="120" w:line="240" w:lineRule="atLeast"/>
              <w:ind w:left="142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W oparciu o badania nad ruchem</w:t>
            </w:r>
            <w:r w:rsidRPr="00922B38">
              <w:rPr>
                <w:sz w:val="22"/>
                <w:szCs w:val="22"/>
                <w:lang w:val="pl-PL"/>
              </w:rPr>
              <w:t xml:space="preserve"> w skali transgranicznej stwierdzić można, jak istotny wpływ na zachowania ludzi w aspekcie transportu ma istnienie granicy państwowej. Wpływ ten można zbadać ilościowo za pomocą modelu dystrybucji podróży (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trip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distribution</w:t>
            </w:r>
            <w:proofErr w:type="spellEnd"/>
            <w:r w:rsidRPr="00922B38">
              <w:rPr>
                <w:sz w:val="22"/>
                <w:szCs w:val="22"/>
                <w:lang w:val="pl-PL"/>
              </w:rPr>
              <w:t xml:space="preserve"> model), który jest standardowo </w:t>
            </w:r>
            <w:r w:rsidRPr="00922B38">
              <w:rPr>
                <w:sz w:val="22"/>
                <w:szCs w:val="22"/>
                <w:lang w:val="pl-PL"/>
              </w:rPr>
              <w:t>wykorzystywany w dziedzinie modelowania transportu. Zgodnie z modelem dystrybucji podróży</w:t>
            </w:r>
            <w:r w:rsidR="00922B38">
              <w:rPr>
                <w:sz w:val="22"/>
                <w:szCs w:val="22"/>
                <w:lang w:val="pl-PL"/>
              </w:rPr>
              <w:t xml:space="preserve">, ludzie jako cel </w:t>
            </w:r>
            <w:r w:rsidRPr="00922B38">
              <w:rPr>
                <w:sz w:val="22"/>
                <w:szCs w:val="22"/>
                <w:lang w:val="pl-PL"/>
              </w:rPr>
              <w:t>podróży wybiera</w:t>
            </w:r>
            <w:r w:rsidR="00922B38">
              <w:rPr>
                <w:sz w:val="22"/>
                <w:szCs w:val="22"/>
                <w:lang w:val="pl-PL"/>
              </w:rPr>
              <w:t xml:space="preserve">ją miejsca, w których zgodnie z założeniem ich potrzeby zostaną zrealizowane najlepiej. Ponadto, na ich wybór wpływa </w:t>
            </w:r>
            <w:r w:rsidRPr="00922B38">
              <w:rPr>
                <w:sz w:val="22"/>
                <w:szCs w:val="22"/>
                <w:lang w:val="pl-PL"/>
              </w:rPr>
              <w:t>czas, który musieliby spędzić w</w:t>
            </w:r>
            <w:r w:rsidRPr="00922B38">
              <w:rPr>
                <w:sz w:val="22"/>
                <w:szCs w:val="22"/>
                <w:lang w:val="pl-PL"/>
              </w:rPr>
              <w:t xml:space="preserve"> podróży, oraz pozostałe aspekty, które należy zbadać osobno.</w:t>
            </w:r>
          </w:p>
          <w:p w14:paraId="56578018" w14:textId="29F6D160" w:rsidR="00A47D7F" w:rsidRPr="00922B38" w:rsidRDefault="00AA1BC9" w:rsidP="00A47D7F">
            <w:pPr>
              <w:spacing w:before="120" w:after="120" w:line="240" w:lineRule="atLeast"/>
              <w:ind w:left="142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W przypadku codziennej mobilności transgranicznej pojawić się mogą szczególne przyczyny, które przeszkodzić mogą ludziom w wyborze celu podróży znajdującego się poza granicami kraju. Konkretny w</w:t>
            </w:r>
            <w:r w:rsidRPr="00922B38">
              <w:rPr>
                <w:sz w:val="22"/>
                <w:szCs w:val="22"/>
                <w:lang w:val="pl-PL"/>
              </w:rPr>
              <w:t>pływ ni</w:t>
            </w:r>
            <w:r w:rsidR="00201518" w:rsidRPr="00922B38">
              <w:rPr>
                <w:sz w:val="22"/>
                <w:szCs w:val="22"/>
                <w:lang w:val="pl-PL"/>
              </w:rPr>
              <w:t>niejszych czynników może się róż</w:t>
            </w:r>
            <w:r w:rsidRPr="00922B38">
              <w:rPr>
                <w:sz w:val="22"/>
                <w:szCs w:val="22"/>
                <w:lang w:val="pl-PL"/>
              </w:rPr>
              <w:t>nić u różnych ludzi, w różnych miejscach. Celem studium jest zanalizowanie najsilniejszyc</w:t>
            </w:r>
            <w:r w:rsidR="00922B38">
              <w:rPr>
                <w:sz w:val="22"/>
                <w:szCs w:val="22"/>
                <w:lang w:val="pl-PL"/>
              </w:rPr>
              <w:t>h czynników istotnych w ujęciu</w:t>
            </w:r>
            <w:r w:rsidRPr="00922B38">
              <w:rPr>
                <w:sz w:val="22"/>
                <w:szCs w:val="22"/>
                <w:lang w:val="pl-PL"/>
              </w:rPr>
              <w:t xml:space="preserve"> mobilności transgranicznej.</w:t>
            </w:r>
          </w:p>
          <w:p w14:paraId="75DA0357" w14:textId="77777777" w:rsidR="00A47D7F" w:rsidRPr="00922B38" w:rsidRDefault="00AA1BC9" w:rsidP="00A47D7F">
            <w:pPr>
              <w:spacing w:before="120" w:after="120" w:line="240" w:lineRule="atLeast"/>
              <w:ind w:left="142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Czynniki ograniczające codzienną mobilność transgraniczną można by </w:t>
            </w:r>
            <w:r w:rsidRPr="00922B38">
              <w:rPr>
                <w:sz w:val="22"/>
                <w:szCs w:val="22"/>
                <w:lang w:val="pl-PL"/>
              </w:rPr>
              <w:t>roboczo (bez klasyfikacji zgodnie z siłą oddziaływania oraz roszczeń do kompletności) podzielić na:</w:t>
            </w:r>
          </w:p>
          <w:p w14:paraId="47BF0CA7" w14:textId="77777777" w:rsidR="00A47D7F" w:rsidRPr="00922B38" w:rsidRDefault="00AA1BC9" w:rsidP="00A47D7F">
            <w:pPr>
              <w:numPr>
                <w:ilvl w:val="0"/>
                <w:numId w:val="4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Ograniczenia wynikające z oferty transportowej. Kiepski dojazd do potencjalnych celów za granicą, które w rzeczywistości znajdują się bliżej niż lepiej dost</w:t>
            </w:r>
            <w:r w:rsidRPr="00922B38">
              <w:rPr>
                <w:sz w:val="22"/>
                <w:szCs w:val="22"/>
                <w:lang w:val="pl-PL"/>
              </w:rPr>
              <w:t>ępne cele na terenie kraju. Oprócz rzadkiej transgranicznej sieci transportowej, przeszkodę stanowić może również ograniczona liczba połączeń transportem publicznym.</w:t>
            </w:r>
          </w:p>
          <w:p w14:paraId="075539D0" w14:textId="2BC16C44" w:rsidR="00A47D7F" w:rsidRPr="00922B38" w:rsidRDefault="00AA1BC9" w:rsidP="00A47D7F">
            <w:pPr>
              <w:numPr>
                <w:ilvl w:val="0"/>
                <w:numId w:val="4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Ograniczen</w:t>
            </w:r>
            <w:r w:rsidR="00201518" w:rsidRPr="00922B38">
              <w:rPr>
                <w:sz w:val="22"/>
                <w:szCs w:val="22"/>
                <w:lang w:val="pl-PL"/>
              </w:rPr>
              <w:t>ia wynikające z obiektywnych róż</w:t>
            </w:r>
            <w:r w:rsidRPr="00922B38">
              <w:rPr>
                <w:sz w:val="22"/>
                <w:szCs w:val="22"/>
                <w:lang w:val="pl-PL"/>
              </w:rPr>
              <w:t>nic między k</w:t>
            </w:r>
            <w:r w:rsidR="00201518" w:rsidRPr="00922B38">
              <w:rPr>
                <w:sz w:val="22"/>
                <w:szCs w:val="22"/>
                <w:lang w:val="pl-PL"/>
              </w:rPr>
              <w:t xml:space="preserve">rajami.  Trudności wynikać mogą </w:t>
            </w:r>
            <w:r w:rsidRPr="00922B38">
              <w:rPr>
                <w:sz w:val="22"/>
                <w:szCs w:val="22"/>
                <w:lang w:val="pl-PL"/>
              </w:rPr>
              <w:t>na p</w:t>
            </w:r>
            <w:r w:rsidRPr="00922B38">
              <w:rPr>
                <w:sz w:val="22"/>
                <w:szCs w:val="22"/>
                <w:lang w:val="pl-PL"/>
              </w:rPr>
              <w:t>rzykład z nieznajomości języka sąsiadów lub ko</w:t>
            </w:r>
            <w:r w:rsidR="00922B38">
              <w:rPr>
                <w:sz w:val="22"/>
                <w:szCs w:val="22"/>
                <w:lang w:val="pl-PL"/>
              </w:rPr>
              <w:t>nieczności płacenia za granicą  inną walutą.</w:t>
            </w:r>
          </w:p>
          <w:p w14:paraId="6B979D8D" w14:textId="53C46B0A" w:rsidR="00A47D7F" w:rsidRPr="00922B38" w:rsidRDefault="00AA1BC9" w:rsidP="00A47D7F">
            <w:pPr>
              <w:numPr>
                <w:ilvl w:val="0"/>
                <w:numId w:val="4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Ograniczenia wynikające z niewystarczającej ilości informacji. Niewystarczająca ilość informacji na temat miejsc za granicą, w których ludzie lub gospodarstwa domowe mogliby rea</w:t>
            </w:r>
            <w:r w:rsidRPr="00922B38">
              <w:rPr>
                <w:sz w:val="22"/>
                <w:szCs w:val="22"/>
                <w:lang w:val="pl-PL"/>
              </w:rPr>
              <w:t>lizować swoje działania, może spowodować, że  ludzie, wybieraj</w:t>
            </w:r>
            <w:r w:rsidR="00922B38">
              <w:rPr>
                <w:sz w:val="22"/>
                <w:szCs w:val="22"/>
                <w:lang w:val="pl-PL"/>
              </w:rPr>
              <w:t>ąc miejsca swoich działań,</w:t>
            </w:r>
            <w:r w:rsidRPr="00922B38">
              <w:rPr>
                <w:sz w:val="22"/>
                <w:szCs w:val="22"/>
                <w:lang w:val="pl-PL"/>
              </w:rPr>
              <w:t xml:space="preserve"> nie rozważają </w:t>
            </w:r>
            <w:r w:rsidR="00922B38">
              <w:rPr>
                <w:sz w:val="22"/>
                <w:szCs w:val="22"/>
                <w:lang w:val="pl-PL"/>
              </w:rPr>
              <w:t xml:space="preserve">nawet </w:t>
            </w:r>
            <w:r w:rsidRPr="00922B38">
              <w:rPr>
                <w:sz w:val="22"/>
                <w:szCs w:val="22"/>
                <w:lang w:val="pl-PL"/>
              </w:rPr>
              <w:t>możliwości wyjazdu poza granice kraju.</w:t>
            </w:r>
          </w:p>
          <w:p w14:paraId="328424E2" w14:textId="77777777" w:rsidR="00A47D7F" w:rsidRPr="00922B38" w:rsidRDefault="00AA1BC9" w:rsidP="00A47D7F">
            <w:pPr>
              <w:numPr>
                <w:ilvl w:val="0"/>
                <w:numId w:val="4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Ograniczenia wynikające z subiektywnych postaw mieszkańców. Wybierając miejsca swoich działań, ludzie mogą b</w:t>
            </w:r>
            <w:r w:rsidRPr="00922B38">
              <w:rPr>
                <w:sz w:val="22"/>
                <w:szCs w:val="22"/>
                <w:lang w:val="pl-PL"/>
              </w:rPr>
              <w:t xml:space="preserve">yć obciążeni postawami, które zniekształcają ich postrzeganie korzyści wynikających z realizacji tych celów za granicą. Są to zwykle </w:t>
            </w:r>
            <w:r w:rsidRPr="00922B38">
              <w:rPr>
                <w:sz w:val="22"/>
                <w:szCs w:val="22"/>
                <w:lang w:val="pl-PL"/>
              </w:rPr>
              <w:lastRenderedPageBreak/>
              <w:t>stereotypy społeczne, poprzez które postrzegają oni swoich sąsiadów spoza granicy i ich kulturę. Stereotypy te zwykle podkr</w:t>
            </w:r>
            <w:r w:rsidRPr="00922B38">
              <w:rPr>
                <w:sz w:val="22"/>
                <w:szCs w:val="22"/>
                <w:lang w:val="pl-PL"/>
              </w:rPr>
              <w:t>eślają różnice między narodami i przynoszą zbędną ocenę tam, gdzie w pierwszej kolejności powinna pojawić się informacja i doświadczenie z pierwszej ręki. Stereotypy społeczne mogą raczej zniechęcić ludzi do realizacji działań za granicą.</w:t>
            </w:r>
          </w:p>
          <w:p w14:paraId="1287B2EB" w14:textId="0A927B2F" w:rsidR="00A47D7F" w:rsidRPr="00922B38" w:rsidRDefault="00AA1BC9" w:rsidP="00A47D7F">
            <w:p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Opracowania study</w:t>
            </w:r>
            <w:r w:rsidRPr="00922B38">
              <w:rPr>
                <w:sz w:val="22"/>
                <w:szCs w:val="22"/>
                <w:lang w:val="pl-PL"/>
              </w:rPr>
              <w:t>jne skoncentrowane na powyższych czterech dziedzinach, będą stanowiły p</w:t>
            </w:r>
            <w:r w:rsidR="00201518" w:rsidRPr="00922B38">
              <w:rPr>
                <w:sz w:val="22"/>
                <w:szCs w:val="22"/>
                <w:lang w:val="pl-PL"/>
              </w:rPr>
              <w:t>róbę doprecyzowania czynników o</w:t>
            </w:r>
            <w:r w:rsidRPr="00922B38">
              <w:rPr>
                <w:sz w:val="22"/>
                <w:szCs w:val="22"/>
                <w:lang w:val="pl-PL"/>
              </w:rPr>
              <w:t>g</w:t>
            </w:r>
            <w:r w:rsidR="00201518" w:rsidRPr="00922B38">
              <w:rPr>
                <w:sz w:val="22"/>
                <w:szCs w:val="22"/>
                <w:lang w:val="pl-PL"/>
              </w:rPr>
              <w:t>r</w:t>
            </w:r>
            <w:r w:rsidRPr="00922B38">
              <w:rPr>
                <w:sz w:val="22"/>
                <w:szCs w:val="22"/>
                <w:lang w:val="pl-PL"/>
              </w:rPr>
              <w:t xml:space="preserve">aniczających oraz </w:t>
            </w:r>
            <w:r w:rsidR="00922B38">
              <w:rPr>
                <w:sz w:val="22"/>
                <w:szCs w:val="22"/>
                <w:lang w:val="pl-PL"/>
              </w:rPr>
              <w:t>obliczenia ilościowego</w:t>
            </w:r>
            <w:r w:rsidRPr="00922B38">
              <w:rPr>
                <w:sz w:val="22"/>
                <w:szCs w:val="22"/>
                <w:lang w:val="pl-PL"/>
              </w:rPr>
              <w:t xml:space="preserve"> ich wpływ</w:t>
            </w:r>
            <w:r w:rsidR="00922B38">
              <w:rPr>
                <w:sz w:val="22"/>
                <w:szCs w:val="22"/>
                <w:lang w:val="pl-PL"/>
              </w:rPr>
              <w:t>u</w:t>
            </w:r>
            <w:r w:rsidRPr="00922B38">
              <w:rPr>
                <w:sz w:val="22"/>
                <w:szCs w:val="22"/>
                <w:lang w:val="pl-PL"/>
              </w:rPr>
              <w:t xml:space="preserve"> na zachowanie mieszkańców. Opracowanie będzie zatem obejmować nie tylko transportowe, ale również społecz</w:t>
            </w:r>
            <w:r w:rsidRPr="00922B38">
              <w:rPr>
                <w:sz w:val="22"/>
                <w:szCs w:val="22"/>
                <w:lang w:val="pl-PL"/>
              </w:rPr>
              <w:t>no-geograficzne i społeczno-psychologiczne aspekty problematyki.</w:t>
            </w:r>
          </w:p>
          <w:p w14:paraId="7AE7996A" w14:textId="77777777" w:rsidR="00436AC2" w:rsidRPr="00922B38" w:rsidRDefault="00AA1BC9" w:rsidP="001E50FD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537CEE" w:rsidRPr="00922B38" w14:paraId="3F385F65" w14:textId="77777777" w:rsidTr="007E76BC">
        <w:tc>
          <w:tcPr>
            <w:tcW w:w="9212" w:type="dxa"/>
            <w:gridSpan w:val="2"/>
          </w:tcPr>
          <w:p w14:paraId="603ADBA8" w14:textId="77777777" w:rsidR="0064154F" w:rsidRPr="00922B38" w:rsidRDefault="00AA1BC9">
            <w:pPr>
              <w:rPr>
                <w:b/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lastRenderedPageBreak/>
              <w:t xml:space="preserve">Miejsce realizacji projektu: </w:t>
            </w:r>
          </w:p>
          <w:p w14:paraId="4D09A814" w14:textId="77777777" w:rsidR="008B354A" w:rsidRPr="00922B38" w:rsidRDefault="00AA1BC9">
            <w:pPr>
              <w:rPr>
                <w:sz w:val="22"/>
                <w:szCs w:val="22"/>
                <w:lang w:val="pl-PL"/>
              </w:rPr>
            </w:pPr>
          </w:p>
          <w:p w14:paraId="0681DE43" w14:textId="77777777" w:rsidR="00A47D7F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PL i </w:t>
            </w:r>
            <w:proofErr w:type="spellStart"/>
            <w:r w:rsidRPr="00922B38">
              <w:rPr>
                <w:sz w:val="22"/>
                <w:szCs w:val="22"/>
                <w:lang w:val="pl-PL"/>
              </w:rPr>
              <w:t>CZ</w:t>
            </w:r>
            <w:proofErr w:type="spellEnd"/>
          </w:p>
        </w:tc>
      </w:tr>
      <w:tr w:rsidR="00537CEE" w:rsidRPr="00922B38" w14:paraId="63E741F1" w14:textId="77777777" w:rsidTr="007E76BC">
        <w:tc>
          <w:tcPr>
            <w:tcW w:w="9212" w:type="dxa"/>
            <w:gridSpan w:val="2"/>
          </w:tcPr>
          <w:p w14:paraId="70B0823A" w14:textId="77777777" w:rsidR="0064154F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 xml:space="preserve">Partner: </w:t>
            </w:r>
          </w:p>
          <w:p w14:paraId="3E80D16C" w14:textId="77777777" w:rsidR="00A47D7F" w:rsidRPr="00922B38" w:rsidRDefault="00AA1BC9" w:rsidP="00A47D7F">
            <w:pPr>
              <w:rPr>
                <w:sz w:val="22"/>
                <w:szCs w:val="22"/>
                <w:lang w:val="pl-PL"/>
              </w:rPr>
            </w:pPr>
          </w:p>
          <w:p w14:paraId="6EEEFADE" w14:textId="77777777" w:rsidR="00A47D7F" w:rsidRPr="00922B38" w:rsidRDefault="00AA1BC9" w:rsidP="00A47D7F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Samorząd lokalny na poziomie powiatu lub województwa.</w:t>
            </w:r>
          </w:p>
          <w:p w14:paraId="611B004C" w14:textId="77777777" w:rsidR="0064154F" w:rsidRPr="00922B38" w:rsidRDefault="00AA1BC9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537CEE" w:rsidRPr="00922B38" w14:paraId="776938B9" w14:textId="77777777" w:rsidTr="007E76BC">
        <w:trPr>
          <w:trHeight w:val="2288"/>
        </w:trPr>
        <w:tc>
          <w:tcPr>
            <w:tcW w:w="9212" w:type="dxa"/>
            <w:gridSpan w:val="2"/>
          </w:tcPr>
          <w:p w14:paraId="39D9AEB1" w14:textId="440F07F4" w:rsidR="00436AC2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Zakłada</w:t>
            </w:r>
            <w:r w:rsidR="00922B38">
              <w:rPr>
                <w:b/>
                <w:bCs/>
                <w:sz w:val="22"/>
                <w:szCs w:val="22"/>
                <w:lang w:val="pl-PL"/>
              </w:rPr>
              <w:t>n</w:t>
            </w:r>
            <w:r w:rsidRPr="00922B38">
              <w:rPr>
                <w:b/>
                <w:bCs/>
                <w:sz w:val="22"/>
                <w:szCs w:val="22"/>
                <w:lang w:val="pl-PL"/>
              </w:rPr>
              <w:t>y zasięg współpracy z partnerem zagranicznym:</w:t>
            </w:r>
          </w:p>
          <w:p w14:paraId="6F0F849B" w14:textId="77777777" w:rsidR="00436AC2" w:rsidRPr="00922B38" w:rsidRDefault="00AA1BC9" w:rsidP="001E50FD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 </w:t>
            </w:r>
          </w:p>
          <w:p w14:paraId="415F1303" w14:textId="77777777" w:rsidR="00E77B2C" w:rsidRPr="00922B38" w:rsidRDefault="00AA1BC9" w:rsidP="001E50FD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Zaangażowanie partnera </w:t>
            </w:r>
            <w:r w:rsidRPr="00922B38">
              <w:rPr>
                <w:sz w:val="22"/>
                <w:szCs w:val="22"/>
                <w:lang w:val="pl-PL"/>
              </w:rPr>
              <w:t>zakładane jest w następujących aspektach: dostarczenie danych (punkty zainteresowania, informacje o zwyczajach danego społeczeństwa w dziedzinie kontaktów obywatelskich, zakupów i transportu). Ponadto liczymy na zaangażowanie partnera we współpracę w propo</w:t>
            </w:r>
            <w:r w:rsidRPr="00922B38">
              <w:rPr>
                <w:sz w:val="22"/>
                <w:szCs w:val="22"/>
                <w:lang w:val="pl-PL"/>
              </w:rPr>
              <w:t>nowaniu działań finalnych, opartych na rezultatach pracy badawczej.</w:t>
            </w:r>
          </w:p>
        </w:tc>
      </w:tr>
      <w:tr w:rsidR="00537CEE" w:rsidRPr="00922B38" w14:paraId="2C1E7829" w14:textId="77777777" w:rsidTr="007E76BC">
        <w:tc>
          <w:tcPr>
            <w:tcW w:w="9212" w:type="dxa"/>
            <w:gridSpan w:val="2"/>
          </w:tcPr>
          <w:p w14:paraId="1AB1FADC" w14:textId="77777777" w:rsidR="0064154F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Cel i produkty projektu:</w:t>
            </w:r>
            <w:r w:rsidRPr="00922B38">
              <w:rPr>
                <w:sz w:val="22"/>
                <w:szCs w:val="22"/>
                <w:lang w:val="pl-PL"/>
              </w:rPr>
              <w:t xml:space="preserve"> </w:t>
            </w:r>
          </w:p>
          <w:p w14:paraId="38F181E5" w14:textId="18D5E628" w:rsidR="00A47D7F" w:rsidRPr="00922B38" w:rsidRDefault="00AA1BC9" w:rsidP="00A47D7F">
            <w:p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Opracowania studyjne skoncentrowane na </w:t>
            </w:r>
            <w:r w:rsidR="00673BED">
              <w:rPr>
                <w:sz w:val="22"/>
                <w:szCs w:val="22"/>
                <w:lang w:val="pl-PL"/>
              </w:rPr>
              <w:t>powyższych czterech dziedzinach będą stanowić</w:t>
            </w:r>
            <w:r w:rsidRPr="00922B38">
              <w:rPr>
                <w:sz w:val="22"/>
                <w:szCs w:val="22"/>
                <w:lang w:val="pl-PL"/>
              </w:rPr>
              <w:t xml:space="preserve"> p</w:t>
            </w:r>
            <w:r w:rsidR="00201518" w:rsidRPr="00922B38">
              <w:rPr>
                <w:sz w:val="22"/>
                <w:szCs w:val="22"/>
                <w:lang w:val="pl-PL"/>
              </w:rPr>
              <w:t>róbę doprecyzowania czynników o</w:t>
            </w:r>
            <w:r w:rsidRPr="00922B38">
              <w:rPr>
                <w:sz w:val="22"/>
                <w:szCs w:val="22"/>
                <w:lang w:val="pl-PL"/>
              </w:rPr>
              <w:t>g</w:t>
            </w:r>
            <w:r w:rsidR="00201518" w:rsidRPr="00922B38">
              <w:rPr>
                <w:sz w:val="22"/>
                <w:szCs w:val="22"/>
                <w:lang w:val="pl-PL"/>
              </w:rPr>
              <w:t>r</w:t>
            </w:r>
            <w:r w:rsidR="00673BED">
              <w:rPr>
                <w:sz w:val="22"/>
                <w:szCs w:val="22"/>
                <w:lang w:val="pl-PL"/>
              </w:rPr>
              <w:t>aniczających oraz obliczenia ilościowego</w:t>
            </w:r>
            <w:r w:rsidRPr="00922B38">
              <w:rPr>
                <w:sz w:val="22"/>
                <w:szCs w:val="22"/>
                <w:lang w:val="pl-PL"/>
              </w:rPr>
              <w:t xml:space="preserve"> ich</w:t>
            </w:r>
            <w:r w:rsidRPr="00922B38">
              <w:rPr>
                <w:sz w:val="22"/>
                <w:szCs w:val="22"/>
                <w:lang w:val="pl-PL"/>
              </w:rPr>
              <w:t xml:space="preserve"> wpływ</w:t>
            </w:r>
            <w:r w:rsidR="00673BED">
              <w:rPr>
                <w:sz w:val="22"/>
                <w:szCs w:val="22"/>
                <w:lang w:val="pl-PL"/>
              </w:rPr>
              <w:t>u</w:t>
            </w:r>
            <w:bookmarkStart w:id="0" w:name="_GoBack"/>
            <w:bookmarkEnd w:id="0"/>
            <w:r w:rsidRPr="00922B38">
              <w:rPr>
                <w:sz w:val="22"/>
                <w:szCs w:val="22"/>
                <w:lang w:val="pl-PL"/>
              </w:rPr>
              <w:t xml:space="preserve"> na zachowanie mieszkańców. Opracowanie będzie zatem obejmować nie tylko transportowe, ale również społeczno-geograficzne i społeczno-psychologiczne aspekty problematyki.</w:t>
            </w:r>
          </w:p>
          <w:p w14:paraId="2410FBF8" w14:textId="77777777" w:rsidR="00A47D7F" w:rsidRPr="00922B38" w:rsidRDefault="00AA1BC9" w:rsidP="00A47D7F">
            <w:p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Z tego, jakimi czynnikami oporu przed przekroczeniem granicy w aspekcie transpo</w:t>
            </w:r>
            <w:r w:rsidRPr="00922B38">
              <w:rPr>
                <w:sz w:val="22"/>
                <w:szCs w:val="22"/>
                <w:lang w:val="pl-PL"/>
              </w:rPr>
              <w:t>rtowym zajmuje się opracowanie studyjne, wynikają zakresy konkretnych działań, które będzie można zaproponować w oparciu o wyniki opracowania studyjnego i oszacować ich wpływ. Jeżeli samorząd lokalny jest zainteresowany zorganizowaniem tych kampanii, byłob</w:t>
            </w:r>
            <w:r w:rsidRPr="00922B38">
              <w:rPr>
                <w:sz w:val="22"/>
                <w:szCs w:val="22"/>
                <w:lang w:val="pl-PL"/>
              </w:rPr>
              <w:t xml:space="preserve">y to lepsze rozwiązanie w ramach projektu. </w:t>
            </w:r>
          </w:p>
          <w:p w14:paraId="3A9F2166" w14:textId="77777777" w:rsidR="00A47D7F" w:rsidRPr="00922B38" w:rsidRDefault="00AA1BC9" w:rsidP="00A47D7F">
            <w:pPr>
              <w:numPr>
                <w:ilvl w:val="0"/>
                <w:numId w:val="2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Propozycja działań w infrastrukturze transportowej. Analiza tego, czy oferta transportu publicznego jest wystarczająca.</w:t>
            </w:r>
          </w:p>
          <w:p w14:paraId="05D12AC3" w14:textId="77777777" w:rsidR="00A47D7F" w:rsidRPr="00922B38" w:rsidRDefault="00AA1BC9" w:rsidP="00A47D7F">
            <w:pPr>
              <w:numPr>
                <w:ilvl w:val="0"/>
                <w:numId w:val="2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Propozycja kampanii informacyjnej w celu wzmocnienia kompetencji społecznych mieszkańców wob</w:t>
            </w:r>
            <w:r w:rsidRPr="00922B38">
              <w:rPr>
                <w:sz w:val="22"/>
                <w:szCs w:val="22"/>
                <w:lang w:val="pl-PL"/>
              </w:rPr>
              <w:t>ec sąsiadów za granicą (np. rozwój zdolności językowych i wiedzy o zwyczajach lokalnych sąsiadów).</w:t>
            </w:r>
          </w:p>
          <w:p w14:paraId="4462331C" w14:textId="77777777" w:rsidR="00A47D7F" w:rsidRPr="00922B38" w:rsidRDefault="00AA1BC9" w:rsidP="00A47D7F">
            <w:pPr>
              <w:numPr>
                <w:ilvl w:val="0"/>
                <w:numId w:val="2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Propozycja kampanii informacyjnej w celu rozwoju wiedzy o potencjalne transgranicz</w:t>
            </w:r>
            <w:r w:rsidR="00201518" w:rsidRPr="00922B38">
              <w:rPr>
                <w:sz w:val="22"/>
                <w:szCs w:val="22"/>
                <w:lang w:val="pl-PL"/>
              </w:rPr>
              <w:t>n</w:t>
            </w:r>
            <w:r w:rsidRPr="00922B38">
              <w:rPr>
                <w:sz w:val="22"/>
                <w:szCs w:val="22"/>
                <w:lang w:val="pl-PL"/>
              </w:rPr>
              <w:t>ym mobilności codziennej (zwłaszcza w zakresie zakupów lub spędzania wolneg</w:t>
            </w:r>
            <w:r w:rsidRPr="00922B38">
              <w:rPr>
                <w:sz w:val="22"/>
                <w:szCs w:val="22"/>
                <w:lang w:val="pl-PL"/>
              </w:rPr>
              <w:t>o czasu).</w:t>
            </w:r>
          </w:p>
          <w:p w14:paraId="064FA2D3" w14:textId="77777777" w:rsidR="00A47D7F" w:rsidRPr="00922B38" w:rsidRDefault="00AA1BC9" w:rsidP="00A47D7F">
            <w:pPr>
              <w:numPr>
                <w:ilvl w:val="0"/>
                <w:numId w:val="2"/>
              </w:numPr>
              <w:spacing w:before="120" w:after="120" w:line="240" w:lineRule="atLeast"/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Propozycja kampanii mających na celu osłabienie negatywnego wpływu stereotypów społecznych.</w:t>
            </w:r>
          </w:p>
          <w:p w14:paraId="3826307A" w14:textId="77777777" w:rsidR="008B354A" w:rsidRPr="00922B38" w:rsidRDefault="00AA1BC9">
            <w:pPr>
              <w:rPr>
                <w:sz w:val="22"/>
                <w:szCs w:val="22"/>
                <w:lang w:val="pl-PL"/>
              </w:rPr>
            </w:pPr>
          </w:p>
        </w:tc>
      </w:tr>
      <w:tr w:rsidR="00537CEE" w:rsidRPr="00922B38" w14:paraId="4743904C" w14:textId="77777777" w:rsidTr="007E76BC">
        <w:tc>
          <w:tcPr>
            <w:tcW w:w="9212" w:type="dxa"/>
            <w:gridSpan w:val="2"/>
          </w:tcPr>
          <w:p w14:paraId="27F48D72" w14:textId="77777777" w:rsidR="00436AC2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>Wstępne oszacowanie kosztów:</w:t>
            </w:r>
            <w:r w:rsidRPr="00922B38">
              <w:rPr>
                <w:sz w:val="22"/>
                <w:szCs w:val="22"/>
                <w:lang w:val="pl-PL"/>
              </w:rPr>
              <w:t xml:space="preserve"> </w:t>
            </w:r>
          </w:p>
          <w:p w14:paraId="6BE30C01" w14:textId="77777777" w:rsidR="00E77B2C" w:rsidRPr="00922B38" w:rsidRDefault="00AA1BC9">
            <w:pPr>
              <w:rPr>
                <w:sz w:val="22"/>
                <w:szCs w:val="22"/>
                <w:lang w:val="pl-PL"/>
              </w:rPr>
            </w:pPr>
          </w:p>
          <w:p w14:paraId="0050680C" w14:textId="5858741C" w:rsidR="00A47D7F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CDV </w:t>
            </w:r>
            <w:r w:rsidR="00922B38">
              <w:rPr>
                <w:sz w:val="22"/>
                <w:szCs w:val="22"/>
                <w:lang w:val="pl-PL"/>
              </w:rPr>
              <w:t>–</w:t>
            </w:r>
            <w:r w:rsidRPr="00922B38">
              <w:rPr>
                <w:sz w:val="22"/>
                <w:szCs w:val="22"/>
                <w:lang w:val="pl-PL"/>
              </w:rPr>
              <w:t xml:space="preserve"> 5</w:t>
            </w:r>
            <w:r w:rsidRPr="00922B38">
              <w:rPr>
                <w:sz w:val="22"/>
                <w:szCs w:val="22"/>
                <w:lang w:val="pl-PL"/>
              </w:rPr>
              <w:t xml:space="preserve"> mln. CZK</w:t>
            </w:r>
          </w:p>
          <w:p w14:paraId="27B43435" w14:textId="77777777" w:rsidR="00E77B2C" w:rsidRPr="00922B38" w:rsidRDefault="00AA1BC9">
            <w:pPr>
              <w:rPr>
                <w:b/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Partner: ??</w:t>
            </w:r>
            <w:r w:rsidRPr="00922B38">
              <w:rPr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537CEE" w:rsidRPr="00922B38" w14:paraId="698C5024" w14:textId="77777777" w:rsidTr="007E76BC">
        <w:tc>
          <w:tcPr>
            <w:tcW w:w="9212" w:type="dxa"/>
            <w:gridSpan w:val="2"/>
          </w:tcPr>
          <w:p w14:paraId="0603A0EF" w14:textId="77777777" w:rsidR="0064154F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t xml:space="preserve">Charakterystyka kosztów </w:t>
            </w:r>
            <w:r w:rsidRPr="00922B38">
              <w:rPr>
                <w:i/>
                <w:iCs/>
                <w:sz w:val="22"/>
                <w:szCs w:val="22"/>
                <w:lang w:val="pl-PL"/>
              </w:rPr>
              <w:t>(wynagrodzenia, rzeczowe, inwestycyjne - konkretnie)</w:t>
            </w:r>
            <w:r w:rsidRPr="00922B38">
              <w:rPr>
                <w:b/>
                <w:bCs/>
                <w:sz w:val="22"/>
                <w:szCs w:val="22"/>
                <w:lang w:val="pl-PL"/>
              </w:rPr>
              <w:t xml:space="preserve">: </w:t>
            </w:r>
          </w:p>
          <w:p w14:paraId="5441A4D3" w14:textId="77777777" w:rsidR="0064154F" w:rsidRPr="00922B38" w:rsidRDefault="00AA1BC9">
            <w:pPr>
              <w:rPr>
                <w:sz w:val="22"/>
                <w:szCs w:val="22"/>
                <w:u w:val="single"/>
                <w:lang w:val="pl-PL"/>
              </w:rPr>
            </w:pPr>
            <w:r w:rsidRPr="00922B38">
              <w:rPr>
                <w:sz w:val="22"/>
                <w:szCs w:val="22"/>
                <w:u w:val="single"/>
                <w:lang w:val="pl-PL"/>
              </w:rPr>
              <w:t>CDV:</w:t>
            </w:r>
          </w:p>
          <w:p w14:paraId="755D0EBC" w14:textId="57E9E26C" w:rsidR="00E77B2C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lastRenderedPageBreak/>
              <w:t>Koszty</w:t>
            </w:r>
            <w:r w:rsidRPr="00922B38">
              <w:rPr>
                <w:sz w:val="22"/>
                <w:szCs w:val="22"/>
                <w:lang w:val="pl-PL"/>
              </w:rPr>
              <w:t xml:space="preserve"> wynagrodzeń na 2 lata </w:t>
            </w:r>
            <w:r w:rsidR="00922B38">
              <w:rPr>
                <w:sz w:val="22"/>
                <w:szCs w:val="22"/>
                <w:lang w:val="pl-PL"/>
              </w:rPr>
              <w:t>–</w:t>
            </w:r>
            <w:r w:rsidRPr="00922B38">
              <w:rPr>
                <w:sz w:val="22"/>
                <w:szCs w:val="22"/>
                <w:lang w:val="pl-PL"/>
              </w:rPr>
              <w:t xml:space="preserve"> ok</w:t>
            </w:r>
            <w:r w:rsidRPr="00922B38">
              <w:rPr>
                <w:sz w:val="22"/>
                <w:szCs w:val="22"/>
                <w:lang w:val="pl-PL"/>
              </w:rPr>
              <w:t>. 3,8 mln CZK</w:t>
            </w:r>
          </w:p>
          <w:p w14:paraId="0E0B4B92" w14:textId="6AD7A030" w:rsidR="00E77B2C" w:rsidRPr="00922B38" w:rsidRDefault="00AA1BC9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 xml:space="preserve">Realizacja badań i ich ocena </w:t>
            </w:r>
            <w:r w:rsidR="00922B38">
              <w:rPr>
                <w:sz w:val="22"/>
                <w:szCs w:val="22"/>
                <w:lang w:val="pl-PL"/>
              </w:rPr>
              <w:t>–</w:t>
            </w:r>
            <w:r w:rsidRPr="00922B38">
              <w:rPr>
                <w:sz w:val="22"/>
                <w:szCs w:val="22"/>
                <w:lang w:val="pl-PL"/>
              </w:rPr>
              <w:t xml:space="preserve"> 1</w:t>
            </w:r>
            <w:r w:rsidRPr="00922B38">
              <w:rPr>
                <w:sz w:val="22"/>
                <w:szCs w:val="22"/>
                <w:lang w:val="pl-PL"/>
              </w:rPr>
              <w:t>,2 mln CZK</w:t>
            </w:r>
          </w:p>
          <w:p w14:paraId="625ECA86" w14:textId="77777777" w:rsidR="00E77B2C" w:rsidRPr="00922B38" w:rsidRDefault="00AA1BC9">
            <w:pPr>
              <w:rPr>
                <w:b/>
                <w:sz w:val="22"/>
                <w:szCs w:val="22"/>
                <w:lang w:val="pl-PL"/>
              </w:rPr>
            </w:pPr>
          </w:p>
        </w:tc>
      </w:tr>
      <w:tr w:rsidR="00537CEE" w:rsidRPr="00922B38" w14:paraId="6A43596F" w14:textId="77777777" w:rsidTr="007E76BC">
        <w:tc>
          <w:tcPr>
            <w:tcW w:w="9212" w:type="dxa"/>
            <w:gridSpan w:val="2"/>
          </w:tcPr>
          <w:p w14:paraId="46EB70A3" w14:textId="77777777" w:rsidR="00E77B2C" w:rsidRPr="00922B38" w:rsidRDefault="00AA1BC9" w:rsidP="0064154F">
            <w:pPr>
              <w:rPr>
                <w:b/>
                <w:sz w:val="22"/>
                <w:szCs w:val="22"/>
                <w:lang w:val="pl-PL"/>
              </w:rPr>
            </w:pPr>
            <w:r w:rsidRPr="00922B38">
              <w:rPr>
                <w:b/>
                <w:bCs/>
                <w:sz w:val="22"/>
                <w:szCs w:val="22"/>
                <w:lang w:val="pl-PL"/>
              </w:rPr>
              <w:lastRenderedPageBreak/>
              <w:t>Stan przygotowania projektu:</w:t>
            </w:r>
          </w:p>
          <w:p w14:paraId="514CE4D8" w14:textId="77777777" w:rsidR="0064154F" w:rsidRPr="00922B38" w:rsidRDefault="00AA1BC9" w:rsidP="0064154F">
            <w:pPr>
              <w:rPr>
                <w:sz w:val="22"/>
                <w:szCs w:val="22"/>
                <w:lang w:val="pl-PL"/>
              </w:rPr>
            </w:pPr>
            <w:r w:rsidRPr="00922B38">
              <w:rPr>
                <w:sz w:val="22"/>
                <w:szCs w:val="22"/>
                <w:lang w:val="pl-PL"/>
              </w:rPr>
              <w:t>Przygotowana propozycja projektowa.</w:t>
            </w:r>
          </w:p>
          <w:p w14:paraId="0DF42530" w14:textId="77777777" w:rsidR="0064154F" w:rsidRPr="00922B38" w:rsidRDefault="00AA1BC9" w:rsidP="0064154F">
            <w:pPr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34CADD9A" w14:textId="77777777" w:rsidR="00E3176D" w:rsidRPr="00922B38" w:rsidRDefault="00AA1BC9">
      <w:pPr>
        <w:rPr>
          <w:lang w:val="pl-PL"/>
        </w:rPr>
      </w:pPr>
    </w:p>
    <w:sectPr w:rsidR="00E3176D" w:rsidRPr="00922B38" w:rsidSect="0064154F">
      <w:headerReference w:type="default" r:id="rId8"/>
      <w:footerReference w:type="default" r:id="rId9"/>
      <w:pgSz w:w="11906" w:h="16838"/>
      <w:pgMar w:top="899" w:right="1417" w:bottom="36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5D35B" w14:textId="77777777" w:rsidR="00000000" w:rsidRDefault="00AA1BC9">
      <w:r>
        <w:separator/>
      </w:r>
    </w:p>
  </w:endnote>
  <w:endnote w:type="continuationSeparator" w:id="0">
    <w:p w14:paraId="40496D29" w14:textId="77777777" w:rsidR="00000000" w:rsidRDefault="00AA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BF9E74" w14:textId="77777777" w:rsidR="0064154F" w:rsidRDefault="00AA1BC9">
    <w:pPr>
      <w:pStyle w:val="Footer"/>
    </w:pPr>
    <w:r>
      <w:rPr>
        <w:noProof/>
      </w:rPr>
      <w:pict w14:anchorId="754A978E"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2049" type="#_x0000_t202" style="position:absolute;margin-left:9pt;margin-top:-.75pt;width:441pt;height:44.9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filled="f" stroked="f">
          <v:textbox>
            <w:txbxContent>
              <w:p w14:paraId="49A511B4" w14:textId="77777777" w:rsidR="0064154F" w:rsidRPr="00114238" w:rsidRDefault="00AA1BC9" w:rsidP="0011423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43476" w14:textId="77777777" w:rsidR="00000000" w:rsidRDefault="00AA1BC9">
      <w:r>
        <w:separator/>
      </w:r>
    </w:p>
  </w:footnote>
  <w:footnote w:type="continuationSeparator" w:id="0">
    <w:p w14:paraId="52A62314" w14:textId="77777777" w:rsidR="00000000" w:rsidRDefault="00AA1B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266FE" w14:textId="77777777" w:rsidR="0064154F" w:rsidRDefault="00AA1BC9">
    <w:pPr>
      <w:pStyle w:val="Header"/>
    </w:pPr>
    <w:r>
      <w:rPr>
        <w:noProof/>
        <w:lang w:val="en-US" w:eastAsia="en-US"/>
      </w:rPr>
      <w:drawing>
        <wp:inline distT="0" distB="0" distL="0" distR="0" wp14:anchorId="2A3FEF13" wp14:editId="71C38823">
          <wp:extent cx="5760720" cy="551815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86E"/>
    <w:multiLevelType w:val="hybridMultilevel"/>
    <w:tmpl w:val="C90E92BE"/>
    <w:lvl w:ilvl="0" w:tplc="DFFC85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3E2D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56F2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34D4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4839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1E13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C899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88B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B830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6420DF"/>
    <w:multiLevelType w:val="hybridMultilevel"/>
    <w:tmpl w:val="67860B92"/>
    <w:lvl w:ilvl="0" w:tplc="1838A1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1EE8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ECC9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6056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24D2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48E2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40D7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EA4C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C466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C52BA"/>
    <w:multiLevelType w:val="hybridMultilevel"/>
    <w:tmpl w:val="FED0F7E8"/>
    <w:lvl w:ilvl="0" w:tplc="43D6D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1E0682" w:tentative="1">
      <w:start w:val="1"/>
      <w:numFmt w:val="lowerLetter"/>
      <w:lvlText w:val="%2."/>
      <w:lvlJc w:val="left"/>
      <w:pPr>
        <w:ind w:left="1440" w:hanging="360"/>
      </w:pPr>
    </w:lvl>
    <w:lvl w:ilvl="2" w:tplc="148E0846" w:tentative="1">
      <w:start w:val="1"/>
      <w:numFmt w:val="lowerRoman"/>
      <w:lvlText w:val="%3."/>
      <w:lvlJc w:val="right"/>
      <w:pPr>
        <w:ind w:left="2160" w:hanging="180"/>
      </w:pPr>
    </w:lvl>
    <w:lvl w:ilvl="3" w:tplc="E3F0EDA2" w:tentative="1">
      <w:start w:val="1"/>
      <w:numFmt w:val="decimal"/>
      <w:lvlText w:val="%4."/>
      <w:lvlJc w:val="left"/>
      <w:pPr>
        <w:ind w:left="2880" w:hanging="360"/>
      </w:pPr>
    </w:lvl>
    <w:lvl w:ilvl="4" w:tplc="0F14F10C" w:tentative="1">
      <w:start w:val="1"/>
      <w:numFmt w:val="lowerLetter"/>
      <w:lvlText w:val="%5."/>
      <w:lvlJc w:val="left"/>
      <w:pPr>
        <w:ind w:left="3600" w:hanging="360"/>
      </w:pPr>
    </w:lvl>
    <w:lvl w:ilvl="5" w:tplc="FA9CB6DE" w:tentative="1">
      <w:start w:val="1"/>
      <w:numFmt w:val="lowerRoman"/>
      <w:lvlText w:val="%6."/>
      <w:lvlJc w:val="right"/>
      <w:pPr>
        <w:ind w:left="4320" w:hanging="180"/>
      </w:pPr>
    </w:lvl>
    <w:lvl w:ilvl="6" w:tplc="F5369A34" w:tentative="1">
      <w:start w:val="1"/>
      <w:numFmt w:val="decimal"/>
      <w:lvlText w:val="%7."/>
      <w:lvlJc w:val="left"/>
      <w:pPr>
        <w:ind w:left="5040" w:hanging="360"/>
      </w:pPr>
    </w:lvl>
    <w:lvl w:ilvl="7" w:tplc="2D50A7C2" w:tentative="1">
      <w:start w:val="1"/>
      <w:numFmt w:val="lowerLetter"/>
      <w:lvlText w:val="%8."/>
      <w:lvlJc w:val="left"/>
      <w:pPr>
        <w:ind w:left="5760" w:hanging="360"/>
      </w:pPr>
    </w:lvl>
    <w:lvl w:ilvl="8" w:tplc="3B769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E20"/>
    <w:multiLevelType w:val="hybridMultilevel"/>
    <w:tmpl w:val="86E451C2"/>
    <w:lvl w:ilvl="0" w:tplc="9ABE0B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198BB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124DC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FA11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7096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E273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6A892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D054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F18B4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EE"/>
    <w:rsid w:val="00201518"/>
    <w:rsid w:val="00537CEE"/>
    <w:rsid w:val="00673BED"/>
    <w:rsid w:val="00922B38"/>
    <w:rsid w:val="00A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B717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41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4154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67A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42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47D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D7F"/>
    <w:pPr>
      <w:autoSpaceDE w:val="0"/>
      <w:autoSpaceDN w:val="0"/>
      <w:adjustRightInd w:val="0"/>
      <w:jc w:val="both"/>
    </w:pPr>
    <w:rPr>
      <w:rFonts w:ascii="Arial" w:hAnsi="Arial"/>
      <w:bCs/>
      <w:sz w:val="20"/>
      <w:szCs w:val="20"/>
      <w:lang w:val="en-GB" w:eastAsia="de-AT"/>
    </w:rPr>
  </w:style>
  <w:style w:type="character" w:customStyle="1" w:styleId="CommentTextChar">
    <w:name w:val="Comment Text Char"/>
    <w:basedOn w:val="DefaultParagraphFont"/>
    <w:link w:val="CommentText"/>
    <w:rsid w:val="00A47D7F"/>
    <w:rPr>
      <w:rFonts w:ascii="Arial" w:hAnsi="Arial"/>
      <w:bCs/>
      <w:lang w:val="en-GB" w:eastAsia="de-AT"/>
    </w:rPr>
  </w:style>
  <w:style w:type="paragraph" w:styleId="ListParagraph">
    <w:name w:val="List Paragraph"/>
    <w:basedOn w:val="Normal"/>
    <w:uiPriority w:val="34"/>
    <w:qFormat/>
    <w:rsid w:val="00A47D7F"/>
    <w:pPr>
      <w:ind w:left="720"/>
      <w:contextualSpacing/>
    </w:pPr>
    <w:rPr>
      <w:rFonts w:ascii="Arial" w:eastAsia="Calibri" w:hAnsi="Arial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4154F"/>
    <w:pPr>
      <w:keepNext/>
      <w:spacing w:before="240" w:after="60"/>
      <w:outlineLvl w:val="0"/>
    </w:pPr>
    <w:rPr>
      <w:rFonts w:cs="Arial"/>
      <w:b/>
      <w:bCs/>
      <w:cap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6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41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4154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67A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7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42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47D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D7F"/>
    <w:pPr>
      <w:autoSpaceDE w:val="0"/>
      <w:autoSpaceDN w:val="0"/>
      <w:adjustRightInd w:val="0"/>
      <w:jc w:val="both"/>
    </w:pPr>
    <w:rPr>
      <w:rFonts w:ascii="Arial" w:hAnsi="Arial"/>
      <w:bCs/>
      <w:sz w:val="20"/>
      <w:szCs w:val="20"/>
      <w:lang w:val="en-GB" w:eastAsia="de-AT"/>
    </w:rPr>
  </w:style>
  <w:style w:type="character" w:customStyle="1" w:styleId="CommentTextChar">
    <w:name w:val="Comment Text Char"/>
    <w:basedOn w:val="DefaultParagraphFont"/>
    <w:link w:val="CommentText"/>
    <w:rsid w:val="00A47D7F"/>
    <w:rPr>
      <w:rFonts w:ascii="Arial" w:hAnsi="Arial"/>
      <w:bCs/>
      <w:lang w:val="en-GB" w:eastAsia="de-AT"/>
    </w:rPr>
  </w:style>
  <w:style w:type="paragraph" w:styleId="ListParagraph">
    <w:name w:val="List Paragraph"/>
    <w:basedOn w:val="Normal"/>
    <w:uiPriority w:val="34"/>
    <w:qFormat/>
    <w:rsid w:val="00A47D7F"/>
    <w:pPr>
      <w:ind w:left="720"/>
      <w:contextualSpacing/>
    </w:pPr>
    <w:rPr>
      <w:rFonts w:ascii="Arial" w:eastAsia="Calibri" w:hAnsi="Arial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743</Words>
  <Characters>5294</Characters>
  <Application>Microsoft Macintosh Word</Application>
  <DocSecurity>0</DocSecurity>
  <Lines>108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projektového záměru:</vt:lpstr>
    </vt:vector>
  </TitlesOfParts>
  <Company>kulk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projektového záměru:</dc:title>
  <dc:creator>kratochvilovaj</dc:creator>
  <cp:lastModifiedBy>Hanna Marciniak</cp:lastModifiedBy>
  <cp:revision>8</cp:revision>
  <cp:lastPrinted>2015-10-22T11:24:00Z</cp:lastPrinted>
  <dcterms:created xsi:type="dcterms:W3CDTF">2015-10-22T11:18:00Z</dcterms:created>
  <dcterms:modified xsi:type="dcterms:W3CDTF">2015-10-25T14:48:00Z</dcterms:modified>
</cp:coreProperties>
</file>